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spacing w:before="0" w:after="0" w:line="360" w:lineRule="auto"/>
        <w:jc w:val="center"/>
        <w:rPr>
          <w:rFonts w:hint="default" w:eastAsia="黑体"/>
          <w:b w:val="0"/>
          <w:bCs/>
          <w:sz w:val="32"/>
          <w:szCs w:val="32"/>
          <w:lang w:val="en-US" w:eastAsia="zh-CN"/>
        </w:rPr>
      </w:pPr>
      <w:r>
        <w:rPr>
          <w:rFonts w:hint="eastAsia" w:eastAsia="黑体"/>
          <w:b w:val="0"/>
          <w:bCs/>
          <w:sz w:val="32"/>
          <w:szCs w:val="32"/>
          <w:lang w:val="en-US" w:eastAsia="zh-CN"/>
        </w:rPr>
        <w:t>项目七 风险应对——收入实质性程序</w:t>
      </w:r>
    </w:p>
    <w:p>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jc w:val="both"/>
        <w:textAlignment w:val="auto"/>
        <w:rPr>
          <w:rFonts w:hint="eastAsia"/>
          <w:b/>
          <w:szCs w:val="24"/>
        </w:rPr>
      </w:pPr>
      <w:r>
        <w:rPr>
          <w:rFonts w:hint="eastAsia"/>
          <w:b/>
          <w:szCs w:val="24"/>
        </w:rPr>
        <w:t>【</w:t>
      </w:r>
      <w:r>
        <w:rPr>
          <w:rFonts w:hint="eastAsia" w:ascii="黑体" w:hAnsi="黑体" w:eastAsia="黑体" w:cs="黑体"/>
          <w:b w:val="0"/>
          <w:bCs/>
          <w:szCs w:val="24"/>
        </w:rPr>
        <w:t>教学</w:t>
      </w:r>
      <w:r>
        <w:rPr>
          <w:rFonts w:hint="eastAsia" w:ascii="黑体" w:hAnsi="黑体" w:eastAsia="黑体" w:cs="黑体"/>
          <w:b w:val="0"/>
          <w:bCs/>
          <w:szCs w:val="24"/>
          <w:lang w:val="en-US" w:eastAsia="zh-CN"/>
        </w:rPr>
        <w:t>目标</w:t>
      </w:r>
      <w:r>
        <w:rPr>
          <w:rFonts w:hint="eastAsia"/>
          <w:b/>
          <w:szCs w:val="24"/>
        </w:rPr>
        <w:t>】</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知识目标：</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1. 了解营业收入的审计目标有哪些；</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2. 掌握销售与收款循环涉及的主要单据与会计记录；</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3. 掌握营业收入的细节测试工作步骤。</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技能目标：</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1. 能够识别常用的收入确认舞弊手段；</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2. 能够分析项目任务，依据项目情况分解任务，规划项目进程，明确要完成的成果；</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3. 能够使用Python和API技术工具完成细节测试工作步骤；</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4. 能够应用可视化技术进行审计相关可视化图表绘制。</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素养目标：</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1. 培养学生保持审计人的本心，知责于心，履责于行；</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2. 培养学生能够透过现象看本质，学会排除干扰，坚定正确的目标和方向；</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3. 培养学生勤于学习，善于思考，勇于实践，学会在工作中总结规律，不断提高工作效率。</w:t>
      </w:r>
    </w:p>
    <w:p>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jc w:val="both"/>
        <w:textAlignment w:val="auto"/>
        <w:rPr>
          <w:rFonts w:hint="eastAsia"/>
          <w:szCs w:val="24"/>
        </w:rPr>
      </w:pPr>
      <w:r>
        <w:rPr>
          <w:rFonts w:hint="eastAsia"/>
          <w:b/>
          <w:szCs w:val="24"/>
        </w:rPr>
        <w:t>【</w:t>
      </w:r>
      <w:r>
        <w:rPr>
          <w:rFonts w:hint="eastAsia" w:ascii="黑体" w:hAnsi="黑体" w:eastAsia="黑体" w:cs="黑体"/>
          <w:b w:val="0"/>
          <w:bCs/>
          <w:szCs w:val="24"/>
        </w:rPr>
        <w:t>教学重点与难点</w:t>
      </w:r>
      <w:r>
        <w:rPr>
          <w:rFonts w:hint="eastAsia"/>
          <w:b/>
          <w:szCs w:val="24"/>
        </w:rPr>
        <w:t>】</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教学重点：</w:t>
      </w:r>
    </w:p>
    <w:p>
      <w:pPr>
        <w:keepNext w:val="0"/>
        <w:keepLines w:val="0"/>
        <w:pageBreakBefore w:val="0"/>
        <w:widowControl w:val="0"/>
        <w:numPr>
          <w:numId w:val="0"/>
        </w:numPr>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1. 销售与收款循环涉及的主要单据与会计记录。</w:t>
      </w:r>
    </w:p>
    <w:p>
      <w:pPr>
        <w:keepNext w:val="0"/>
        <w:keepLines w:val="0"/>
        <w:pageBreakBefore w:val="0"/>
        <w:widowControl w:val="0"/>
        <w:numPr>
          <w:numId w:val="0"/>
        </w:numPr>
        <w:kinsoku/>
        <w:wordWrap/>
        <w:overflowPunct/>
        <w:topLinePunct w:val="0"/>
        <w:autoSpaceDE/>
        <w:autoSpaceDN/>
        <w:bidi w:val="0"/>
        <w:adjustRightInd/>
        <w:snapToGrid w:val="0"/>
        <w:spacing w:line="460" w:lineRule="exact"/>
        <w:ind w:leftChars="0" w:firstLine="480" w:firstLineChars="200"/>
        <w:jc w:val="both"/>
        <w:textAlignment w:val="auto"/>
        <w:rPr>
          <w:rFonts w:hint="eastAsia"/>
          <w:color w:val="000000"/>
          <w:szCs w:val="24"/>
        </w:rPr>
      </w:pPr>
      <w:r>
        <w:rPr>
          <w:rFonts w:hint="eastAsia"/>
          <w:color w:val="000000"/>
          <w:szCs w:val="24"/>
          <w:lang w:val="en-US" w:eastAsia="zh-CN"/>
        </w:rPr>
        <w:t xml:space="preserve">2. </w:t>
      </w:r>
      <w:r>
        <w:rPr>
          <w:rFonts w:hint="eastAsia"/>
          <w:color w:val="000000"/>
          <w:szCs w:val="24"/>
        </w:rPr>
        <w:t>常用的收入确认舞弊手段及营业收入的细节测试工作步骤。</w:t>
      </w:r>
    </w:p>
    <w:p>
      <w:pPr>
        <w:keepNext w:val="0"/>
        <w:keepLines w:val="0"/>
        <w:pageBreakBefore w:val="0"/>
        <w:widowControl w:val="0"/>
        <w:numPr>
          <w:numId w:val="0"/>
        </w:numPr>
        <w:kinsoku/>
        <w:wordWrap/>
        <w:overflowPunct/>
        <w:topLinePunct w:val="0"/>
        <w:autoSpaceDE/>
        <w:autoSpaceDN/>
        <w:bidi w:val="0"/>
        <w:adjustRightInd/>
        <w:snapToGrid w:val="0"/>
        <w:spacing w:line="460" w:lineRule="exact"/>
        <w:ind w:leftChars="200"/>
        <w:jc w:val="both"/>
        <w:textAlignment w:val="auto"/>
        <w:rPr>
          <w:rFonts w:hint="eastAsia"/>
          <w:color w:val="000000"/>
          <w:szCs w:val="24"/>
        </w:rPr>
      </w:pPr>
      <w:r>
        <w:rPr>
          <w:rFonts w:hint="eastAsia"/>
          <w:color w:val="000000"/>
          <w:szCs w:val="24"/>
          <w:lang w:val="en-US" w:eastAsia="zh-CN"/>
        </w:rPr>
        <w:t xml:space="preserve">3. </w:t>
      </w:r>
      <w:r>
        <w:rPr>
          <w:rFonts w:hint="eastAsia"/>
          <w:color w:val="000000"/>
          <w:szCs w:val="24"/>
        </w:rPr>
        <w:t>进行收入实质性程序的操作流程。</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教学难点：</w:t>
      </w:r>
    </w:p>
    <w:p>
      <w:pPr>
        <w:keepNext w:val="0"/>
        <w:keepLines w:val="0"/>
        <w:pageBreakBefore w:val="0"/>
        <w:widowControl w:val="0"/>
        <w:numPr>
          <w:numId w:val="0"/>
        </w:numPr>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1. 应用Python、API等技术工具完成销售政策复核、装运规则复核、物流信息复核、销售存疑报告、存疑客户关联关系网络图的可视化展现。</w:t>
      </w:r>
    </w:p>
    <w:p>
      <w:pPr>
        <w:keepNext w:val="0"/>
        <w:keepLines w:val="0"/>
        <w:pageBreakBefore w:val="0"/>
        <w:widowControl w:val="0"/>
        <w:numPr>
          <w:numId w:val="0"/>
        </w:numPr>
        <w:kinsoku/>
        <w:wordWrap/>
        <w:overflowPunct/>
        <w:topLinePunct w:val="0"/>
        <w:autoSpaceDE/>
        <w:autoSpaceDN/>
        <w:bidi w:val="0"/>
        <w:adjustRightInd/>
        <w:snapToGrid w:val="0"/>
        <w:spacing w:line="460" w:lineRule="exact"/>
        <w:ind w:leftChars="200"/>
        <w:jc w:val="both"/>
        <w:textAlignment w:val="auto"/>
        <w:rPr>
          <w:rFonts w:hint="eastAsia"/>
          <w:color w:val="000000"/>
          <w:szCs w:val="24"/>
        </w:rPr>
      </w:pPr>
      <w:r>
        <w:rPr>
          <w:rFonts w:hint="eastAsia"/>
          <w:color w:val="000000"/>
          <w:szCs w:val="24"/>
          <w:lang w:val="en-US" w:eastAsia="zh-CN"/>
        </w:rPr>
        <w:t>2</w:t>
      </w:r>
      <w:r>
        <w:rPr>
          <w:rFonts w:hint="eastAsia"/>
          <w:color w:val="000000"/>
          <w:szCs w:val="24"/>
        </w:rPr>
        <w:t>. 应用商业“查企业”平台，完成社会网络关系复核。</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color w:val="000000"/>
          <w:szCs w:val="24"/>
        </w:rPr>
      </w:pPr>
      <w:r>
        <w:rPr>
          <w:rFonts w:hint="eastAsia"/>
          <w:color w:val="000000"/>
          <w:szCs w:val="24"/>
        </w:rPr>
        <w:t>【</w:t>
      </w:r>
      <w:r>
        <w:rPr>
          <w:rFonts w:hint="eastAsia" w:ascii="黑体" w:hAnsi="黑体" w:eastAsia="黑体" w:cs="黑体"/>
          <w:b w:val="0"/>
          <w:bCs/>
          <w:szCs w:val="24"/>
          <w:lang w:val="en-US" w:eastAsia="zh-CN"/>
        </w:rPr>
        <w:t>授课课时</w:t>
      </w:r>
      <w:r>
        <w:rPr>
          <w:rFonts w:hint="eastAsia"/>
          <w:color w:val="000000"/>
          <w:szCs w:val="24"/>
        </w:rPr>
        <w:t>】</w:t>
      </w:r>
      <w:r>
        <w:rPr>
          <w:rFonts w:hint="eastAsia"/>
          <w:color w:val="000000"/>
          <w:szCs w:val="24"/>
          <w:lang w:val="en-US" w:eastAsia="zh-CN"/>
        </w:rPr>
        <w:t>6</w:t>
      </w:r>
      <w:r>
        <w:rPr>
          <w:rFonts w:hint="eastAsia"/>
          <w:color w:val="000000"/>
          <w:szCs w:val="24"/>
        </w:rPr>
        <w:t>课时</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w:t>
      </w:r>
      <w:r>
        <w:rPr>
          <w:rFonts w:hint="eastAsia" w:ascii="黑体" w:hAnsi="黑体" w:eastAsia="黑体" w:cs="黑体"/>
          <w:b w:val="0"/>
          <w:bCs/>
          <w:szCs w:val="24"/>
          <w:lang w:val="en-US" w:eastAsia="zh-CN"/>
        </w:rPr>
        <w:t>教学方法和手段</w:t>
      </w:r>
      <w:r>
        <w:rPr>
          <w:rFonts w:hint="eastAsia"/>
          <w:color w:val="000000"/>
          <w:szCs w:val="24"/>
        </w:rPr>
        <w:t>】学情分析、</w:t>
      </w:r>
      <w:r>
        <w:rPr>
          <w:rFonts w:hint="eastAsia"/>
          <w:color w:val="000000"/>
          <w:szCs w:val="24"/>
          <w:lang w:val="en-US" w:eastAsia="zh-CN"/>
        </w:rPr>
        <w:t>课堂</w:t>
      </w:r>
      <w:r>
        <w:rPr>
          <w:rFonts w:hint="eastAsia"/>
          <w:color w:val="000000"/>
          <w:szCs w:val="24"/>
        </w:rPr>
        <w:t>讲授、课堂讨论、提问互动、</w:t>
      </w:r>
      <w:r>
        <w:rPr>
          <w:rFonts w:hint="eastAsia"/>
          <w:color w:val="000000"/>
          <w:szCs w:val="24"/>
          <w:lang w:val="en-US" w:eastAsia="zh-CN"/>
        </w:rPr>
        <w:t>多媒体教学</w:t>
      </w:r>
      <w:r>
        <w:rPr>
          <w:rFonts w:hint="eastAsia"/>
          <w:color w:val="000000"/>
          <w:szCs w:val="24"/>
        </w:rPr>
        <w:t>、</w:t>
      </w:r>
      <w:r>
        <w:rPr>
          <w:rFonts w:hint="eastAsia"/>
          <w:color w:val="000000"/>
          <w:szCs w:val="24"/>
          <w:lang w:val="en-US" w:eastAsia="zh-CN"/>
        </w:rPr>
        <w:t>理实一体</w:t>
      </w:r>
      <w:r>
        <w:rPr>
          <w:rFonts w:hint="eastAsia"/>
          <w:color w:val="000000"/>
          <w:szCs w:val="24"/>
        </w:rPr>
        <w:t>、在线答疑。</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w:t>
      </w:r>
      <w:r>
        <w:rPr>
          <w:rFonts w:hint="eastAsia" w:ascii="黑体" w:hAnsi="黑体" w:eastAsia="黑体" w:cs="黑体"/>
          <w:b w:val="0"/>
          <w:bCs/>
          <w:szCs w:val="24"/>
          <w:lang w:val="en-US" w:eastAsia="zh-CN"/>
        </w:rPr>
        <w:t>教学过程</w:t>
      </w:r>
      <w:r>
        <w:rPr>
          <w:rFonts w:hint="eastAsia"/>
          <w:color w:val="000000"/>
          <w:szCs w:val="24"/>
        </w:rPr>
        <w:t>】</w:t>
      </w:r>
    </w:p>
    <w:p>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一、教学组织</w:t>
      </w:r>
    </w:p>
    <w:tbl>
      <w:tblPr>
        <w:tblStyle w:val="3"/>
        <w:tblW w:w="49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52"/>
        <w:gridCol w:w="13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教学环节</w:t>
            </w:r>
          </w:p>
        </w:tc>
        <w:tc>
          <w:tcPr>
            <w:tcW w:w="778" w:type="pct"/>
            <w:noWrap w:val="0"/>
            <w:vAlign w:val="center"/>
          </w:tcPr>
          <w:p>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时间安排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4222" w:type="pct"/>
            <w:noWrap w:val="0"/>
            <w:vAlign w:val="center"/>
          </w:tcPr>
          <w:p>
            <w:pPr>
              <w:adjustRightInd/>
              <w:snapToGrid w:val="0"/>
              <w:spacing w:line="240" w:lineRule="auto"/>
              <w:jc w:val="both"/>
              <w:textAlignment w:val="auto"/>
              <w:rPr>
                <w:rFonts w:eastAsia="宋体"/>
                <w:sz w:val="21"/>
                <w:szCs w:val="21"/>
              </w:rPr>
            </w:pPr>
            <w:r>
              <w:rPr>
                <w:rFonts w:hint="eastAsia" w:ascii="黑体" w:hAnsi="黑体" w:eastAsia="黑体" w:cs="宋体"/>
                <w:sz w:val="21"/>
                <w:szCs w:val="21"/>
              </w:rPr>
              <w:t>导入新课：</w:t>
            </w:r>
            <w:r>
              <w:rPr>
                <w:rFonts w:hint="eastAsia" w:hAnsi="宋体" w:cs="宋体"/>
                <w:sz w:val="21"/>
                <w:szCs w:val="21"/>
              </w:rPr>
              <w:t>学情统计、</w:t>
            </w:r>
            <w:r>
              <w:rPr>
                <w:rFonts w:hint="eastAsia"/>
                <w:sz w:val="21"/>
                <w:szCs w:val="21"/>
              </w:rPr>
              <w:t>提问互动、启发引导</w:t>
            </w:r>
          </w:p>
        </w:tc>
        <w:tc>
          <w:tcPr>
            <w:tcW w:w="778" w:type="pct"/>
            <w:noWrap w:val="0"/>
            <w:vAlign w:val="center"/>
          </w:tcPr>
          <w:p>
            <w:pPr>
              <w:adjustRightInd/>
              <w:snapToGrid w:val="0"/>
              <w:spacing w:line="240" w:lineRule="auto"/>
              <w:jc w:val="center"/>
              <w:textAlignment w:val="auto"/>
              <w:rPr>
                <w:rFonts w:hint="eastAsia" w:hAnsi="宋体" w:cs="宋体"/>
                <w:sz w:val="21"/>
                <w:szCs w:val="21"/>
              </w:rPr>
            </w:pPr>
            <w:r>
              <w:rPr>
                <w:rFonts w:hint="eastAsia"/>
                <w:sz w:val="21"/>
                <w:szCs w:val="21"/>
              </w:rPr>
              <w:t>10分钟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4222" w:type="pct"/>
            <w:noWrap w:val="0"/>
            <w:vAlign w:val="center"/>
          </w:tcPr>
          <w:p>
            <w:pPr>
              <w:adjustRightInd/>
              <w:snapToGrid w:val="0"/>
              <w:spacing w:line="240" w:lineRule="auto"/>
              <w:jc w:val="both"/>
              <w:textAlignment w:val="auto"/>
              <w:rPr>
                <w:rFonts w:hint="eastAsia"/>
                <w:color w:val="000000"/>
                <w:sz w:val="21"/>
                <w:szCs w:val="21"/>
              </w:rPr>
            </w:pPr>
            <w:r>
              <w:rPr>
                <w:rFonts w:hint="eastAsia" w:ascii="黑体" w:hAnsi="黑体" w:eastAsia="黑体" w:cs="宋体"/>
                <w:sz w:val="21"/>
                <w:szCs w:val="21"/>
              </w:rPr>
              <w:t>新课讲授：</w:t>
            </w:r>
            <w:r>
              <w:rPr>
                <w:rFonts w:hint="eastAsia"/>
                <w:color w:val="000000"/>
                <w:sz w:val="21"/>
                <w:szCs w:val="21"/>
                <w:lang w:val="en-US" w:eastAsia="zh-CN"/>
              </w:rPr>
              <w:t>课堂</w:t>
            </w:r>
            <w:r>
              <w:rPr>
                <w:rFonts w:hint="eastAsia"/>
                <w:color w:val="000000"/>
                <w:sz w:val="21"/>
                <w:szCs w:val="21"/>
              </w:rPr>
              <w:t>讲授、</w:t>
            </w:r>
            <w:r>
              <w:rPr>
                <w:rFonts w:hint="eastAsia"/>
                <w:color w:val="000000"/>
                <w:sz w:val="21"/>
                <w:szCs w:val="21"/>
                <w:lang w:val="en-US" w:eastAsia="zh-CN"/>
              </w:rPr>
              <w:t>小组讨论</w:t>
            </w:r>
            <w:r>
              <w:rPr>
                <w:rFonts w:hint="eastAsia"/>
                <w:color w:val="000000"/>
                <w:sz w:val="21"/>
                <w:szCs w:val="21"/>
              </w:rPr>
              <w:t>、</w:t>
            </w:r>
            <w:r>
              <w:rPr>
                <w:rFonts w:hint="eastAsia"/>
                <w:color w:val="000000"/>
                <w:sz w:val="21"/>
                <w:szCs w:val="21"/>
                <w:lang w:val="en-US" w:eastAsia="zh-CN"/>
              </w:rPr>
              <w:t>多媒体展示</w:t>
            </w:r>
            <w:r>
              <w:rPr>
                <w:rFonts w:hint="eastAsia"/>
                <w:color w:val="000000"/>
                <w:sz w:val="21"/>
                <w:szCs w:val="21"/>
              </w:rPr>
              <w:t>、微课视频</w:t>
            </w:r>
          </w:p>
          <w:p>
            <w:pPr>
              <w:adjustRightInd/>
              <w:snapToGrid w:val="0"/>
              <w:spacing w:line="240" w:lineRule="auto"/>
              <w:jc w:val="both"/>
              <w:textAlignment w:val="auto"/>
              <w:rPr>
                <w:rFonts w:hint="default" w:eastAsia="宋体"/>
                <w:sz w:val="21"/>
                <w:szCs w:val="21"/>
                <w:lang w:val="en-US" w:eastAsia="zh-CN"/>
              </w:rPr>
            </w:pPr>
            <w:r>
              <w:rPr>
                <w:rFonts w:hint="eastAsia" w:ascii="黑体" w:hAnsi="黑体" w:eastAsia="黑体" w:cs="宋体"/>
                <w:sz w:val="21"/>
                <w:szCs w:val="21"/>
                <w:lang w:val="en-US" w:eastAsia="zh-CN"/>
              </w:rPr>
              <w:t>学生实操：</w:t>
            </w:r>
            <w:r>
              <w:rPr>
                <w:rFonts w:hint="eastAsia"/>
                <w:color w:val="000000"/>
                <w:sz w:val="21"/>
                <w:szCs w:val="21"/>
                <w:lang w:val="en-US" w:eastAsia="zh-CN"/>
              </w:rPr>
              <w:t>利用大数据审计平台进行实务操作</w:t>
            </w:r>
          </w:p>
        </w:tc>
        <w:tc>
          <w:tcPr>
            <w:tcW w:w="778" w:type="pct"/>
            <w:noWrap w:val="0"/>
            <w:vAlign w:val="center"/>
          </w:tcPr>
          <w:p>
            <w:pPr>
              <w:adjustRightInd/>
              <w:snapToGrid w:val="0"/>
              <w:spacing w:line="240" w:lineRule="auto"/>
              <w:jc w:val="center"/>
              <w:textAlignment w:val="auto"/>
              <w:rPr>
                <w:sz w:val="21"/>
                <w:szCs w:val="21"/>
              </w:rPr>
            </w:pPr>
            <w:r>
              <w:rPr>
                <w:rFonts w:hint="eastAsia"/>
                <w:sz w:val="21"/>
                <w:szCs w:val="21"/>
                <w:lang w:val="en-US" w:eastAsia="zh-CN"/>
              </w:rPr>
              <w:t>280</w:t>
            </w:r>
            <w:r>
              <w:rPr>
                <w:rFonts w:hint="eastAsia"/>
                <w:sz w:val="21"/>
                <w:szCs w:val="21"/>
              </w:rPr>
              <w:t>分钟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222" w:type="pct"/>
            <w:noWrap w:val="0"/>
            <w:vAlign w:val="center"/>
          </w:tcPr>
          <w:p>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项目小结</w:t>
            </w:r>
            <w:r>
              <w:rPr>
                <w:rFonts w:hint="eastAsia" w:ascii="黑体" w:hAnsi="黑体" w:eastAsia="黑体" w:cs="宋体"/>
                <w:sz w:val="21"/>
                <w:szCs w:val="21"/>
              </w:rPr>
              <w:t>：</w:t>
            </w:r>
            <w:r>
              <w:rPr>
                <w:rFonts w:hint="eastAsia"/>
                <w:color w:val="000000"/>
                <w:sz w:val="21"/>
                <w:szCs w:val="21"/>
              </w:rPr>
              <w:t>归纳总结、理论讲授</w:t>
            </w:r>
          </w:p>
        </w:tc>
        <w:tc>
          <w:tcPr>
            <w:tcW w:w="778" w:type="pct"/>
            <w:noWrap w:val="0"/>
            <w:vAlign w:val="center"/>
          </w:tcPr>
          <w:p>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4222" w:type="pct"/>
            <w:noWrap w:val="0"/>
            <w:vAlign w:val="center"/>
          </w:tcPr>
          <w:p>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课后拓展</w:t>
            </w:r>
            <w:r>
              <w:rPr>
                <w:rFonts w:hint="eastAsia" w:ascii="黑体" w:hAnsi="黑体" w:eastAsia="黑体" w:cs="宋体"/>
                <w:sz w:val="21"/>
                <w:szCs w:val="21"/>
              </w:rPr>
              <w:t>：</w:t>
            </w:r>
            <w:r>
              <w:rPr>
                <w:rFonts w:hint="eastAsia" w:hAnsi="宋体" w:cs="宋体"/>
                <w:sz w:val="21"/>
                <w:szCs w:val="21"/>
              </w:rPr>
              <w:t>课后作业；</w:t>
            </w:r>
            <w:r>
              <w:rPr>
                <w:rFonts w:hint="eastAsia" w:hAnsi="宋体" w:cs="宋体"/>
                <w:sz w:val="21"/>
                <w:szCs w:val="21"/>
                <w:lang w:val="en-US" w:eastAsia="zh-CN"/>
              </w:rPr>
              <w:t>实践任务；</w:t>
            </w:r>
            <w:r>
              <w:rPr>
                <w:rFonts w:hint="eastAsia" w:hAnsi="宋体" w:cs="宋体"/>
                <w:sz w:val="21"/>
                <w:szCs w:val="21"/>
              </w:rPr>
              <w:t>下次课程资料预习</w:t>
            </w:r>
          </w:p>
        </w:tc>
        <w:tc>
          <w:tcPr>
            <w:tcW w:w="778" w:type="pct"/>
            <w:noWrap w:val="0"/>
            <w:vAlign w:val="center"/>
          </w:tcPr>
          <w:p>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sz w:val="28"/>
          <w:szCs w:val="28"/>
        </w:rPr>
      </w:pPr>
      <w:r>
        <w:rPr>
          <w:rFonts w:hint="eastAsia" w:ascii="黑体" w:hAnsi="黑体" w:eastAsia="黑体" w:cs="Times New Roman"/>
          <w:sz w:val="24"/>
          <w:szCs w:val="24"/>
          <w:lang w:val="en-US" w:eastAsia="zh-CN" w:bidi="ar-SA"/>
        </w:rPr>
        <w:t>二、</w:t>
      </w:r>
      <w:r>
        <w:rPr>
          <w:rFonts w:hint="eastAsia" w:ascii="黑体" w:hAnsi="黑体" w:eastAsia="黑体"/>
          <w:sz w:val="24"/>
          <w:szCs w:val="24"/>
        </w:rPr>
        <w:t>导入新课</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8523" w:type="dxa"/>
          </w:tcPr>
          <w:p>
            <w:pPr>
              <w:numPr>
                <w:ilvl w:val="0"/>
                <w:numId w:val="0"/>
              </w:numPr>
              <w:adjustRightInd/>
              <w:snapToGrid w:val="0"/>
              <w:spacing w:before="163" w:beforeLines="50" w:line="360" w:lineRule="auto"/>
              <w:jc w:val="center"/>
              <w:textAlignment w:val="auto"/>
              <w:rPr>
                <w:rFonts w:hint="default" w:ascii="黑体" w:hAnsi="黑体" w:eastAsia="黑体"/>
                <w:sz w:val="28"/>
                <w:szCs w:val="28"/>
                <w:vertAlign w:val="baseline"/>
                <w:lang w:val="en-US" w:eastAsia="zh-CN"/>
              </w:rPr>
            </w:pPr>
            <w:r>
              <w:rPr>
                <w:rFonts w:hint="eastAsia" w:ascii="黑体" w:hAnsi="黑体" w:eastAsia="黑体"/>
                <w:sz w:val="24"/>
                <w:szCs w:val="24"/>
                <w:lang w:val="en-US" w:eastAsia="zh-CN"/>
              </w:rPr>
              <w:t>项目引例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5" w:hRule="atLeast"/>
        </w:trPr>
        <w:tc>
          <w:tcPr>
            <w:tcW w:w="8523" w:type="dxa"/>
            <w:vAlign w:val="center"/>
          </w:tcPr>
          <w:p>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中国证监会在2020年12月8日发布了对索菱股份的处罚决定，指出其《2016年年度报告》《2017年年度报告》《2018年年度报告》存在虚假记载。2016 年1月至2018年12月，索菱股份通过虚增营业收入、虚减管理费用、财务费用的方式，累积虚增利润84952.29万元。</w:t>
            </w:r>
          </w:p>
          <w:p>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瑞华会计师事务所（简称瑞华所）作为索菱股份2016年、2017年年度财务报表审计机构，在2021年9月收到了证监会的处罚决定书。决定书指出，瑞华所在对索菱股份2016年、2017年年度财务报表审计时，未勤勉尽责，其中包括未按要求执行识别和评估重大错报风险的程序、未按要求执行销售与收款循环与销售货物有关的内部控制测试程序等。</w:t>
            </w:r>
          </w:p>
          <w:p>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决定书披露的细节指出，针对出库单存在制单员为超级管理员的情形，瑞华所没有保持合理的职业怀疑，未设计和实施有效的进一步审计程序并获取充分、适当的审计证据；针对同一客户销售的同类产品同时存在不同编号抬头出库单的情形，未向负责制单的部门进行核实，且审计工作底稿中并未记录当事人执行企业询问、查看索菱股份相关人员操作系统等审计程序的过程。瑞华所称其执行了查看索菱股份相关人员操作系统等审计程序，缺少事实依据。</w:t>
            </w:r>
          </w:p>
          <w:p>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both"/>
              <w:textAlignment w:val="auto"/>
              <w:rPr>
                <w:rFonts w:hint="eastAsia" w:ascii="黑体" w:hAnsi="黑体" w:eastAsia="黑体" w:cs="黑体"/>
                <w:b w:val="0"/>
                <w:bCs w:val="0"/>
                <w:color w:val="C00000"/>
                <w:sz w:val="21"/>
                <w:szCs w:val="21"/>
                <w:lang w:val="en-US" w:eastAsia="zh-CN"/>
              </w:rPr>
            </w:pPr>
            <w:r>
              <w:rPr>
                <w:rFonts w:hint="eastAsia" w:ascii="黑体" w:hAnsi="黑体" w:eastAsia="黑体" w:cs="黑体"/>
                <w:b w:val="0"/>
                <w:bCs w:val="0"/>
                <w:color w:val="C00000"/>
                <w:sz w:val="21"/>
                <w:szCs w:val="21"/>
                <w:lang w:val="en-US" w:eastAsia="zh-CN"/>
              </w:rPr>
              <w:t>思考与讨论：</w:t>
            </w:r>
          </w:p>
          <w:p>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 企业有哪些惯用的财务造假手段？</w:t>
            </w:r>
          </w:p>
          <w:p>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both"/>
              <w:textAlignment w:val="auto"/>
              <w:rPr>
                <w:rFonts w:hint="eastAsia" w:ascii="黑体" w:hAnsi="黑体" w:eastAsia="黑体"/>
                <w:sz w:val="28"/>
                <w:szCs w:val="28"/>
                <w:vertAlign w:val="baseline"/>
              </w:rPr>
            </w:pPr>
            <w:r>
              <w:rPr>
                <w:rFonts w:hint="eastAsia" w:asciiTheme="minorEastAsia" w:hAnsiTheme="minorEastAsia" w:eastAsiaTheme="minorEastAsia" w:cstheme="minorEastAsia"/>
                <w:sz w:val="21"/>
                <w:szCs w:val="21"/>
                <w:lang w:val="en-US" w:eastAsia="zh-CN"/>
              </w:rPr>
              <w:t>2. 未执行恰当的审计程序对审计结果会有哪些影响？</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三、新课讲授</w:t>
      </w:r>
    </w:p>
    <w:tbl>
      <w:tblPr>
        <w:tblStyle w:val="3"/>
        <w:tblW w:w="4900" w:type="pct"/>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8352"/>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jc w:val="center"/>
        </w:trPr>
        <w:tc>
          <w:tcPr>
            <w:tcW w:w="8523" w:type="dxa"/>
            <w:noWrap w:val="0"/>
            <w:vAlign w:val="top"/>
          </w:tcPr>
          <w:p>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default" w:ascii="黑体" w:hAnsi="黑体" w:eastAsia="黑体"/>
                <w:bCs/>
                <w:sz w:val="28"/>
                <w:szCs w:val="28"/>
                <w:lang w:val="en-US" w:eastAsia="zh-CN"/>
              </w:rPr>
            </w:pPr>
            <w:r>
              <w:rPr>
                <w:rFonts w:hint="eastAsia" w:ascii="黑体" w:hAnsi="黑体" w:eastAsia="黑体"/>
                <w:bCs/>
                <w:sz w:val="28"/>
                <w:szCs w:val="28"/>
                <w:lang w:val="en-US" w:eastAsia="zh-CN"/>
              </w:rPr>
              <w:t>项目七 风险应对——收入实质性程序</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default" w:ascii="黑体" w:hAnsi="黑体" w:eastAsia="黑体"/>
                <w:sz w:val="24"/>
                <w:szCs w:val="24"/>
                <w:lang w:val="en-US" w:eastAsia="zh-CN"/>
              </w:rPr>
            </w:pPr>
            <w:r>
              <w:rPr>
                <w:rFonts w:hint="eastAsia" w:ascii="黑体" w:hAnsi="黑体" w:eastAsia="黑体"/>
                <w:sz w:val="24"/>
                <w:szCs w:val="24"/>
                <w:lang w:val="en-US" w:eastAsia="zh-CN"/>
              </w:rPr>
              <w:t>任务一</w:t>
            </w:r>
            <w:r>
              <w:rPr>
                <w:rFonts w:ascii="黑体" w:hAnsi="黑体" w:eastAsia="黑体"/>
                <w:sz w:val="24"/>
                <w:szCs w:val="24"/>
              </w:rPr>
              <w:t xml:space="preserve">  </w:t>
            </w:r>
            <w:r>
              <w:rPr>
                <w:rFonts w:hint="eastAsia" w:ascii="黑体" w:hAnsi="黑体" w:eastAsia="黑体"/>
                <w:sz w:val="24"/>
                <w:szCs w:val="24"/>
                <w:lang w:val="en-US" w:eastAsia="zh-CN"/>
              </w:rPr>
              <w:t>任务准备</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一、营业收入的审计目标</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 发生认定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 完整性认定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 准确性认定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4. 截止认定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5. 分类认定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6. 列报认定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bCs/>
                <w:kern w:val="2"/>
                <w:sz w:val="21"/>
                <w:szCs w:val="21"/>
                <w:lang w:val="en-US" w:eastAsia="zh-CN" w:bidi="ar-SA"/>
              </w:rPr>
              <w:t>二、不同行业的营业收入来源</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一个企业所处的行业和经营性质决定了该企业的收入来源，以及为获取收入而相应产生的各项成本支出。注册会计师需要对被审计单位的经营性质和业务活动有比较全面的了解，才能因地制宜地执行被审计单位收入、成本的审计工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三、销售与收款循环涉及的主要单据与会计记录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w:t>
            </w:r>
            <w:r>
              <w:rPr>
                <w:rFonts w:hint="eastAsia" w:ascii="宋体" w:hAnsi="宋体" w:eastAsia="宋体" w:cs="宋体"/>
                <w:b w:val="0"/>
                <w:bCs w:val="0"/>
                <w:kern w:val="2"/>
                <w:sz w:val="21"/>
                <w:szCs w:val="21"/>
                <w:lang w:val="en-US" w:eastAsia="zh-CN" w:bidi="ar-SA"/>
              </w:rPr>
              <w:t>. 客户订购单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 销售单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 出库单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4. 销售发票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5. 商品价目表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6. 贷项通知单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7. 应收票据/应收款项融资/应收账款/合同资产预期信用损失计算表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8. 应收票据/应收款项融资/应收账款/合同资产明细账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9. 主营业务收入明细账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10. 可变对价相关会计记录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11. 汇款通知书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12. 现金日记账和银行存款日记账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13. 坏账核销审批表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14. 客户对账单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15. 转账凭证</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16. 现金和银行凭证</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四、销售与收款循环存在的重大错报风险</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不同被审计单位的收入模式可能不同，即使是同一被审计单位也可能存在多种收入模式，收入的来源和构成、交易特性、行业特定惯例、收入确认的具体原则等因素对收入交易的会计核算产生诸多影响。</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（一）识别与收入确认相关的舞弊风险</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在实施风险评估程序时，注册会计师识别与收入确认相关的舞弊风险至关重要。注册会计师应当评价通过实施风险评估程序和执行其他相关活动获取的信息是否表明存在舞弊风险因素。</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（二）常用的收入确认舞弊手段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 为了达到粉饰财务报表的目的而虚增收入或提前确认收入。</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 为了达到报告期内降低税负或转移利润等目的而少计收入或推迟确认收入。</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（三）表明被审计单位在收入确认方面可能存在舞弊风险的迹象</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 销售客户方面出现异常情况；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 销售交易方面出现异常情况；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 销售合同、单据方面出现异常情况；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4. 销售回款方面出现异常情况；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5. 被审计单位通常会使用货币资金配合收入舞弊，注册会计师需要关注资金方面</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出现的异常情况。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五、营业收入的实质性程序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（一）实质性程序的涵义及性质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实质性程序是指注册会计师针对评估的重大错报风险实施的直接用以发现认定层次重大错报的审计程序。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实质性程序的性质包括：</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 实质性程序性质的含义，是指实质性程序的类型及其组合，主要包括细节测试和实质性分析程序。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 细节测试和实质性分析程序的适用性，前者适用于对各类交易、账户余额、列报认定的测试；后者适用于在一段时期内存在可预期关系的大量交易的情况。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 细节测试的方向，根据不同的认定层次的重大错报风险设计有针对性的细节测试。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4. 设计实质性分析程序时考虑的因素，包括程序的适当性、所依据数据的可靠性等因素。</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（二）营业收入的细节测试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 收入确认方法检查</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 账表核对</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 凭证检查</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4. 业务单据检查</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5. 函证程序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6. 截止测试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7. 销售退、折检查</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8. 列报及披露检查</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eastAsia" w:ascii="黑体" w:hAnsi="黑体" w:eastAsia="黑体"/>
                <w:sz w:val="24"/>
                <w:szCs w:val="24"/>
                <w:lang w:val="en-US" w:eastAsia="zh-CN"/>
              </w:rPr>
            </w:pPr>
            <w:r>
              <w:rPr>
                <w:rFonts w:hint="eastAsia" w:ascii="黑体" w:hAnsi="黑体" w:eastAsia="黑体"/>
                <w:sz w:val="24"/>
                <w:szCs w:val="24"/>
                <w:lang w:val="en-US" w:eastAsia="zh-CN"/>
              </w:rPr>
              <w:t>任务二 技术实现</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w:t>
            </w:r>
            <w:r>
              <w:rPr>
                <w:rFonts w:hint="eastAsia" w:ascii="宋体" w:hAnsi="宋体" w:eastAsia="宋体" w:cs="宋体"/>
                <w:b/>
                <w:bCs/>
                <w:sz w:val="21"/>
                <w:szCs w:val="21"/>
                <w:lang w:val="en-US" w:eastAsia="zh-CN"/>
              </w:rPr>
              <w:t>业务实例</w:t>
            </w:r>
            <w:r>
              <w:rPr>
                <w:rFonts w:hint="eastAsia" w:ascii="宋体" w:hAnsi="宋体" w:eastAsia="宋体" w:cs="宋体"/>
                <w:b w:val="0"/>
                <w:bCs w:val="0"/>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XXX会计师事务所已承接对明康生物 20X1 年财务报表进行审计的业务。XXX会计师事务所执行风险评估程序后，初步发现明康生物营业收入存在重大错报风险，准备采取实质性程序获取审计证据，以应对营业收入存在的重大错报风险。</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val="0"/>
                <w:bCs w:val="0"/>
                <w:sz w:val="21"/>
                <w:szCs w:val="21"/>
                <w:lang w:val="en-US" w:eastAsia="zh-CN"/>
              </w:rPr>
              <w:t>依据明康生物的业务处理流程，拟对营业收入进行以下细节测试：（1）复核销售订单的原单价、销售折扣与公司的销售政策是否一致；（2）复核销售订单的货物数量是否符合物流公司装运规则；（3）获取销售订单的物流信息，复核货物件数是否一致，物流状态是否已签收，以及签收日期是否属于被审计年度；（4）对于以上步骤发现的异常销售订单，进一步追查被审计单位与客户之间的社会网络关系。</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一、销售政策复核</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（一）原单价异常检查 - 销售订单原单价异常检测方法一</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点击【开始任务】-【新建脚本】-【01 销售订单原单价异常检测】。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 导入库</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读取表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 根据“产品名称”合并数据</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 原单价异常检测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5. 输出数据表</w:t>
            </w:r>
            <w:r>
              <w:rPr>
                <w:rFonts w:hint="eastAsia" w:ascii="宋体" w:hAnsi="宋体" w:eastAsia="宋体" w:cs="宋体"/>
                <w:sz w:val="21"/>
                <w:szCs w:val="21"/>
                <w:lang w:val="en-US" w:eastAsia="zh-CN"/>
              </w:rPr>
              <w:t>存</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（二）原单价异常检查 - 销售订单原单价异常检测方法二</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操作流程：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点击【开始任务】-【新建脚本】-【02 销售订单原单价异常检测】。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val="0"/>
                <w:bCs w:val="0"/>
                <w:sz w:val="21"/>
                <w:szCs w:val="21"/>
                <w:lang w:val="en-US" w:eastAsia="zh-CN"/>
              </w:rPr>
              <w:t>1. 导入库</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读取表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 根据“产品名称”合并数据</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 xml:space="preserve">4. </w:t>
            </w:r>
            <w:r>
              <w:rPr>
                <w:rFonts w:hint="eastAsia" w:ascii="宋体" w:hAnsi="宋体" w:cs="宋体"/>
                <w:sz w:val="21"/>
                <w:szCs w:val="21"/>
                <w:lang w:val="en-US" w:eastAsia="zh-CN"/>
              </w:rPr>
              <w:t>数据预处理</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 xml:space="preserve">5. </w:t>
            </w:r>
            <w:r>
              <w:rPr>
                <w:rFonts w:hint="eastAsia" w:ascii="宋体" w:hAnsi="宋体" w:eastAsia="宋体" w:cs="宋体"/>
                <w:sz w:val="21"/>
                <w:szCs w:val="21"/>
                <w:lang w:val="en-US" w:eastAsia="zh-CN"/>
              </w:rPr>
              <w:t>原单价异常检测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6</w:t>
            </w:r>
            <w:r>
              <w:rPr>
                <w:rFonts w:hint="eastAsia" w:ascii="宋体" w:hAnsi="宋体" w:eastAsia="宋体" w:cs="宋体"/>
                <w:sz w:val="21"/>
                <w:szCs w:val="21"/>
                <w:lang w:val="en-US" w:eastAsia="zh-CN"/>
              </w:rPr>
              <w:t>. 输出数据表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（三）销售折扣异常检测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操作流程：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点击【开始任务】-【新建脚本】-【03 销售订单折扣异常检测】。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 导入库</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读取表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 根据“</w:t>
            </w:r>
            <w:r>
              <w:rPr>
                <w:rFonts w:hint="eastAsia" w:ascii="宋体" w:hAnsi="宋体" w:cs="宋体"/>
                <w:sz w:val="21"/>
                <w:szCs w:val="21"/>
                <w:lang w:val="en-US" w:eastAsia="zh-CN"/>
              </w:rPr>
              <w:t>区域</w:t>
            </w:r>
            <w:r>
              <w:rPr>
                <w:rFonts w:hint="eastAsia" w:ascii="宋体" w:hAnsi="宋体" w:eastAsia="宋体" w:cs="宋体"/>
                <w:sz w:val="21"/>
                <w:szCs w:val="21"/>
                <w:lang w:val="en-US" w:eastAsia="zh-CN"/>
              </w:rPr>
              <w:t>”合并数据</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4. </w:t>
            </w:r>
            <w:r>
              <w:rPr>
                <w:rFonts w:hint="eastAsia" w:ascii="宋体" w:hAnsi="宋体" w:cs="宋体"/>
                <w:sz w:val="21"/>
                <w:szCs w:val="21"/>
                <w:lang w:val="en-US" w:eastAsia="zh-CN"/>
              </w:rPr>
              <w:t>销售折扣</w:t>
            </w:r>
            <w:r>
              <w:rPr>
                <w:rFonts w:hint="eastAsia" w:ascii="宋体" w:hAnsi="宋体" w:eastAsia="宋体" w:cs="宋体"/>
                <w:sz w:val="21"/>
                <w:szCs w:val="21"/>
                <w:lang w:val="en-US" w:eastAsia="zh-CN"/>
              </w:rPr>
              <w:t>异常检测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 输出数据表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二、装运规则复核 - 货物数量异常检测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操作流程：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kern w:val="2"/>
                <w:sz w:val="21"/>
                <w:szCs w:val="21"/>
                <w:lang w:val="en-US" w:eastAsia="zh-CN" w:bidi="ar-SA"/>
              </w:rPr>
              <w:t>点击【开始任务】-【新建脚本】-【04 销售订单货物数量货物数量异常检测 异常检测】。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导入库</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读取表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 根据“产品名称”合并数据</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4. </w:t>
            </w:r>
            <w:r>
              <w:rPr>
                <w:rFonts w:hint="eastAsia" w:ascii="宋体" w:hAnsi="宋体" w:cs="宋体"/>
                <w:kern w:val="2"/>
                <w:sz w:val="21"/>
                <w:szCs w:val="21"/>
                <w:lang w:val="en-US" w:eastAsia="zh-CN" w:bidi="ar-SA"/>
              </w:rPr>
              <w:t>货物数量</w:t>
            </w:r>
            <w:r>
              <w:rPr>
                <w:rFonts w:hint="eastAsia" w:ascii="宋体" w:hAnsi="宋体" w:eastAsia="宋体" w:cs="宋体"/>
                <w:kern w:val="2"/>
                <w:sz w:val="21"/>
                <w:szCs w:val="21"/>
                <w:lang w:val="en-US" w:eastAsia="zh-CN" w:bidi="ar-SA"/>
              </w:rPr>
              <w:t>异常检测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5</w:t>
            </w:r>
            <w:r>
              <w:rPr>
                <w:rFonts w:hint="eastAsia" w:ascii="宋体" w:hAnsi="宋体" w:eastAsia="宋体" w:cs="宋体"/>
                <w:kern w:val="2"/>
                <w:sz w:val="21"/>
                <w:szCs w:val="21"/>
                <w:lang w:val="en-US" w:eastAsia="zh-CN" w:bidi="ar-SA"/>
              </w:rPr>
              <w:t>. 输出数据表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cs="宋体"/>
                <w:b/>
                <w:bCs/>
                <w:sz w:val="21"/>
                <w:szCs w:val="21"/>
                <w:lang w:val="en-US" w:eastAsia="zh-CN"/>
              </w:rPr>
            </w:pPr>
            <w:r>
              <w:rPr>
                <w:rFonts w:hint="eastAsia" w:ascii="宋体" w:hAnsi="宋体" w:cs="宋体"/>
                <w:b/>
                <w:bCs/>
                <w:sz w:val="21"/>
                <w:szCs w:val="21"/>
                <w:lang w:val="en-US" w:eastAsia="zh-CN"/>
              </w:rPr>
              <w:t>三、物流信息复核</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cs="宋体"/>
                <w:b/>
                <w:bCs/>
                <w:sz w:val="21"/>
                <w:szCs w:val="21"/>
                <w:lang w:val="en-US" w:eastAsia="zh-CN"/>
              </w:rPr>
            </w:pPr>
            <w:r>
              <w:rPr>
                <w:rFonts w:hint="eastAsia" w:ascii="宋体" w:hAnsi="宋体" w:cs="宋体"/>
                <w:b/>
                <w:bCs/>
                <w:sz w:val="21"/>
                <w:szCs w:val="21"/>
                <w:lang w:val="en-US" w:eastAsia="zh-CN"/>
              </w:rPr>
              <w:t>（一）物流信息 API 调用接口测试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cs="宋体"/>
                <w:b/>
                <w:bCs/>
                <w:sz w:val="21"/>
                <w:szCs w:val="21"/>
                <w:lang w:val="en-US" w:eastAsia="zh-CN"/>
              </w:rPr>
            </w:pPr>
            <w:r>
              <w:rPr>
                <w:rFonts w:hint="eastAsia" w:ascii="宋体" w:hAnsi="宋体" w:cs="宋体"/>
                <w:b/>
                <w:bCs/>
                <w:sz w:val="21"/>
                <w:szCs w:val="21"/>
                <w:lang w:val="en-US" w:eastAsia="zh-CN"/>
              </w:rPr>
              <w:t>操作流程：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b w:val="0"/>
                <w:bCs w:val="0"/>
                <w:sz w:val="21"/>
                <w:szCs w:val="21"/>
                <w:lang w:val="en-US" w:eastAsia="zh-CN"/>
              </w:rPr>
              <w:t>点击【开始任务】-【新建脚本】-【05 物流信息API调用接口测试】。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eastAsia" w:ascii="宋体" w:hAnsi="宋体" w:cs="宋体"/>
                <w:kern w:val="2"/>
                <w:sz w:val="21"/>
                <w:szCs w:val="21"/>
                <w:lang w:val="en-US" w:eastAsia="zh-CN" w:bidi="ar-SA"/>
              </w:rPr>
              <w:t>在【工作应用】-【API 商城】，选择【风险应对之收入实质性程序】，点击“全国快递物流查询”的【免费试用】，在【示例说明：】-【python 示例】中，获取调用物流信息的python代码，并在新道代码编辑器中完成代码测试。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（二）第三方物流信息获取(API)</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操作流程：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点击【开始任务】-【新建脚本】-【06 销售订单第三方物流信息获取】。</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val="0"/>
                <w:bCs w:val="0"/>
                <w:kern w:val="2"/>
                <w:sz w:val="21"/>
                <w:szCs w:val="21"/>
                <w:lang w:val="en-US" w:eastAsia="zh-CN" w:bidi="ar-SA"/>
              </w:rPr>
              <w:t>1. 导入库</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读取表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 创建物流单号列表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 API调用物流信息</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5. 输出数据表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（三）第三方物流信息获取详细展开（API）（选做）</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 导入库</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读取表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 创建物流单号列表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 API调用物流信息</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本任务该段代码与上一任务代码的不同处在于，本任务要将查询到的结果中的一个子表“details”进行展开。</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 输出数据表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（四）销售订单货物件数异常检测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操作流程：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点击【开始任务】-【新建脚本】-【08 销售订单货物件数异常检测】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导入库</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读取表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 根据“物流单号”合并数据</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 货物件数异常检测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sz w:val="21"/>
                <w:szCs w:val="21"/>
                <w:lang w:val="en-US" w:eastAsia="zh-CN"/>
              </w:rPr>
            </w:pPr>
            <w:r>
              <w:rPr>
                <w:rFonts w:hint="eastAsia" w:ascii="宋体" w:hAnsi="宋体" w:eastAsia="宋体" w:cs="宋体"/>
                <w:kern w:val="2"/>
                <w:sz w:val="21"/>
                <w:szCs w:val="21"/>
                <w:lang w:val="en-US" w:eastAsia="zh-CN" w:bidi="ar-SA"/>
              </w:rPr>
              <w:t>5. 输出数据表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cs="宋体"/>
                <w:b/>
                <w:bCs/>
                <w:sz w:val="21"/>
                <w:szCs w:val="21"/>
                <w:lang w:val="en-US" w:eastAsia="zh-CN"/>
              </w:rPr>
            </w:pPr>
            <w:r>
              <w:rPr>
                <w:rFonts w:hint="eastAsia" w:ascii="宋体" w:hAnsi="宋体" w:cs="宋体"/>
                <w:b/>
                <w:bCs/>
                <w:sz w:val="21"/>
                <w:szCs w:val="21"/>
                <w:lang w:val="en-US" w:eastAsia="zh-CN"/>
              </w:rPr>
              <w:t>（五）销售订单签收状态检测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default" w:ascii="宋体" w:hAnsi="宋体" w:cs="宋体"/>
                <w:sz w:val="21"/>
                <w:szCs w:val="21"/>
                <w:lang w:val="en-US" w:eastAsia="zh-CN"/>
              </w:rPr>
            </w:pPr>
            <w:r>
              <w:rPr>
                <w:rFonts w:hint="eastAsia" w:ascii="宋体" w:hAnsi="宋体" w:cs="宋体"/>
                <w:b/>
                <w:bCs/>
                <w:sz w:val="21"/>
                <w:szCs w:val="21"/>
                <w:lang w:val="en-US" w:eastAsia="zh-CN"/>
              </w:rPr>
              <w:t>操作流程：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cs="宋体"/>
                <w:sz w:val="21"/>
                <w:szCs w:val="21"/>
                <w:lang w:val="en-US" w:eastAsia="zh-CN"/>
              </w:rPr>
              <w:t>点击【开始任务】-【新建脚本】-【09 编制待确认销售收入表】。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1. 导入库</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2. 读取表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3. 根据“物流单号”合并数据</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4. 筛选出“物流日期”不包含“2021”或“物流状态”不包含“已签收”的销售订单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eastAsia" w:ascii="宋体" w:hAnsi="宋体" w:cs="宋体"/>
                <w:kern w:val="2"/>
                <w:sz w:val="21"/>
                <w:szCs w:val="21"/>
                <w:lang w:val="en-US" w:eastAsia="zh-CN" w:bidi="ar-SA"/>
              </w:rPr>
              <w:t>5. 输出数据表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四、销售存疑报告</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点击【开始任务】-【新建脚本】-【10 编制销售收入存疑表】。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1.导入库</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2.读取销售订单表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3.读取原单价检测结果关键信息</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4.读取销售折扣检测结果关键信息</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5.读取货物数量检测结果关键信息</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6.读取货物件数检测结果关键信息</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7. 合并数据表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8. 筛选出包含“异常”或“有误”的销售订单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9. 输出数据表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五、社会网络关系筛查</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（一）收入存疑客户 1 关联关系筛查</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 关联关系筛查</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（1）点击【开始任务】，打开“查企业”平台【关系筛查】页面。</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（2）“目标主体1”处输入被审计单位名称，“目标主体2”处输入“销售收入存疑表”中存疑客户1的名称，单击【开始分析】。</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（3）点击【任务指南】-【任务资料】，下载关联关系表模板。</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（4）观察查企业平台查询到的关联关系图，梳理被审计单位与存疑客户1之间的关联关系，并将其填写到已下载的关联关系表模板中。</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default" w:ascii="宋体" w:hAnsi="宋体" w:eastAsia="宋体" w:cs="宋体"/>
                <w:b/>
                <w:bCs/>
                <w:sz w:val="21"/>
                <w:szCs w:val="21"/>
                <w:lang w:val="en-US" w:eastAsia="zh-CN"/>
              </w:rPr>
            </w:pPr>
            <w:r>
              <w:rPr>
                <w:rFonts w:hint="default" w:ascii="宋体" w:hAnsi="宋体" w:eastAsia="宋体" w:cs="宋体"/>
                <w:b/>
                <w:bCs/>
                <w:sz w:val="21"/>
                <w:szCs w:val="21"/>
                <w:lang w:val="en-US" w:eastAsia="zh-CN"/>
              </w:rPr>
              <w:t>2. 关联关系筛查可视化</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1.导入库</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2.读取表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3.配置网络节点</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4.配置网络的边</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5.绘制网络图</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（二）收入存疑客户 2-5 关联关系筛查</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1. 关联关系筛查</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操作步骤同“收入存疑客户1关联关系筛查”，把客户1名称换成客户2-5的名称即可。</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2. 关联关系筛查可视化</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操作步骤和“收入存疑客户1关联关系筛查”大致相同，不同之处在于：</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（1）步骤2读取的表依次替换为“数据源05收入存疑客户2关联关系表.xlsx”</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rPr>
              <w:t>“数据源05收入存疑客户3关联关系表.xlsx”</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rPr>
              <w:t>“数据源05收入存疑客户4关联关系表.xlsx”</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rPr>
              <w:t>“数据源05收入存疑客户5关联关系表.xlsx”；</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（2）步骤3在设置节点背景色时，将可疑客户依次改为“东生药材有限公司”</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rPr>
              <w:t>“江西广药健康药业有限公司”</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rPr>
              <w:t>“西城天天药业有限公司”</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rPr>
              <w:t>“延庆世达药业有限责任公司”；</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（3）步骤5设置的图标题依次为“存疑客户2关联关系可视化”</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rPr>
              <w:t>“存疑客户3关联关系可视化”</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rPr>
              <w:t>“存疑客户4关联关系可视化”</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rPr>
              <w:t>“存疑客户5关联关系可视化”；</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（4）步骤5绘制的html网络图名称依次为“存疑客户2关联关系可视化”</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rPr>
              <w:t>“存疑客户</w:t>
            </w:r>
            <w:r>
              <w:rPr>
                <w:rFonts w:hint="eastAsia" w:ascii="宋体" w:hAnsi="宋体" w:cs="宋体"/>
                <w:b w:val="0"/>
                <w:bCs w:val="0"/>
                <w:color w:val="auto"/>
                <w:sz w:val="21"/>
                <w:szCs w:val="21"/>
                <w:lang w:val="en-US" w:eastAsia="zh-CN"/>
              </w:rPr>
              <w:t>3</w:t>
            </w:r>
            <w:r>
              <w:rPr>
                <w:rFonts w:hint="eastAsia" w:ascii="宋体" w:hAnsi="宋体" w:eastAsia="宋体" w:cs="宋体"/>
                <w:b w:val="0"/>
                <w:bCs w:val="0"/>
                <w:color w:val="auto"/>
                <w:sz w:val="21"/>
                <w:szCs w:val="21"/>
                <w:lang w:val="en-US" w:eastAsia="zh-CN"/>
              </w:rPr>
              <w:t>关联关系可视化”</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rPr>
              <w:t>“存疑客户4关联关系可视化”</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rPr>
              <w:t>“存疑客户5关联关系可视化”</w:t>
            </w:r>
            <w:r>
              <w:rPr>
                <w:rFonts w:hint="eastAsia" w:ascii="宋体" w:hAnsi="宋体" w:cs="宋体"/>
                <w:b w:val="0"/>
                <w:bCs w:val="0"/>
                <w:color w:val="auto"/>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【课岗融通】</w:t>
            </w:r>
          </w:p>
          <w:p>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审计项目组职位及其主要职责</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项目经理/负责人：负责整个审计项目的规划、执行和监控。他们确保项目按照预定的时间表和质量标准进行，与团队成员、客户和其他利益相关者进行有效沟通，并解决项目中出现的任何问题。</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审计员/审计助理：执行具体的审计任务，如现金盘点、银行发函、盘点固定资产、收集数据、分析财务报表、评估内部控制等。他们根据审计计划进行工作，记录审计证据，并编写审计报告或工作底稿。</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质量控制专员：确保审计工作的质量符合相关标准和要求。他们可能参与审计程序的制定和审核，对审计员的工作进行复核，以确保准确性和完整性。</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技术支持人员：提供技术支持和咨询服务，包括解决技术问题、提供培训和支持审计软件的使用等。他们确保审计团队拥有所需的技能和工具来执行审计工作。</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eastAsia" w:ascii="宋体" w:hAnsi="宋体" w:eastAsia="宋体" w:cs="宋体"/>
                <w:b w:val="0"/>
                <w:bCs w:val="0"/>
                <w:kern w:val="2"/>
                <w:sz w:val="21"/>
                <w:szCs w:val="21"/>
                <w:lang w:val="en-US" w:eastAsia="zh-CN" w:bidi="ar-SA"/>
              </w:rPr>
              <w:t>行政助理/秘书：负责审计项目组的行政工作，如文件整理、会议安排、报告分发等。他们确保项目组的日常运作顺畅，并提供必要的支持。</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w:t>
            </w:r>
            <w:r>
              <w:rPr>
                <w:rFonts w:hint="eastAsia" w:ascii="宋体" w:hAnsi="宋体" w:eastAsia="宋体" w:cs="宋体"/>
                <w:b/>
                <w:bCs/>
                <w:color w:val="auto"/>
                <w:sz w:val="21"/>
                <w:szCs w:val="21"/>
                <w:lang w:val="en-US" w:eastAsia="zh-CN"/>
              </w:rPr>
              <w:t>思政融入</w:t>
            </w:r>
            <w:r>
              <w:rPr>
                <w:rFonts w:hint="eastAsia" w:ascii="宋体" w:hAnsi="宋体" w:cs="宋体"/>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新能源高质量发展 对审计提出新要求</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b w:val="0"/>
                <w:bCs w:val="0"/>
                <w:sz w:val="21"/>
                <w:szCs w:val="21"/>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四、课程小结</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9" w:hRule="atLeast"/>
        </w:trPr>
        <w:tc>
          <w:tcPr>
            <w:tcW w:w="8522" w:type="dxa"/>
            <w:vAlign w:val="center"/>
          </w:tcPr>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lang w:val="en-US" w:eastAsia="zh-CN"/>
              </w:rPr>
              <w:t>本项目重在介绍利用大数据审计平台完成在审计风险应对业务活动阶段如何进行收入实质性程序的实操过程。重点介绍了销售与收款循环涉及的主要单据与会计记录，常用的收入确认舞弊手段及营业收入的细节测试工作步骤。针对业务实例，应用Python、API、“查企业”平台等技术工具进行收入实质性程序的操作流程：销售政策复核——应用 Python 完成订单“原单价”与政策中的价格区间比对及“折扣”与政策中的价格系数比对；装运规则复核设计——应用Python完成订单“货物件数”与“货物数量”之间的关系，与规则中的“单件装运数量”比对；物流信息复核——应用Python(通过API接口)，实现第三方物流的订单物流信息获取；应用Python“货物件数”的比对，完成物流状态及物流日期的复核；销售存疑报告——应用Python完成“原单价”“折扣”“货物数量”“货物件数”核对不符信息的汇总；社会网络关系复核——应用商业“查企业”平台，完成被审计单位与存疑客户之间的社会网络关系筛查，应用Python完成存疑客户关联关系网络图的可视化展现。</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五、课后拓展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2" w:hRule="atLeast"/>
        </w:trPr>
        <w:tc>
          <w:tcPr>
            <w:tcW w:w="8522" w:type="dxa"/>
            <w:vAlign w:val="center"/>
          </w:tcPr>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任务布置</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在</w:t>
            </w:r>
            <w:r>
              <w:rPr>
                <w:rFonts w:hint="eastAsia" w:ascii="宋体" w:hAnsi="宋体" w:cs="宋体"/>
                <w:b w:val="0"/>
                <w:bCs w:val="0"/>
                <w:sz w:val="21"/>
                <w:szCs w:val="21"/>
                <w:lang w:val="en-US" w:eastAsia="zh-CN"/>
              </w:rPr>
              <w:t>学习通</w:t>
            </w:r>
            <w:r>
              <w:rPr>
                <w:rFonts w:hint="eastAsia" w:ascii="宋体" w:hAnsi="宋体" w:eastAsia="宋体" w:cs="宋体"/>
                <w:b w:val="0"/>
                <w:bCs w:val="0"/>
                <w:sz w:val="21"/>
                <w:szCs w:val="21"/>
                <w:lang w:val="en-US" w:eastAsia="zh-CN"/>
              </w:rPr>
              <w:t>发布课后作业：针对任务二实例的物流信息复核环节，尝试用智多星RPA设计器，制作机器人，自动获取销售订单的物流信息，包括“当前位置”</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“物流最后日期”</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“货物件数”等信息，并完成销售订单中的货物件数与实际运输的货物件数的核对。</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仿宋" w:hAnsi="仿宋" w:eastAsia="仿宋" w:cs="仿宋"/>
                <w:spacing w:val="-14"/>
                <w:sz w:val="24"/>
                <w:szCs w:val="24"/>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MOOC平台资源学习</w:t>
            </w:r>
          </w:p>
        </w:tc>
      </w:tr>
    </w:tbl>
    <w:p>
      <w:pPr>
        <w:keepNext w:val="0"/>
        <w:keepLines w:val="0"/>
        <w:pageBreakBefore w:val="0"/>
        <w:widowControl w:val="0"/>
        <w:kinsoku/>
        <w:wordWrap/>
        <w:overflowPunct/>
        <w:topLinePunct w:val="0"/>
        <w:autoSpaceDE/>
        <w:autoSpaceDN/>
        <w:bidi w:val="0"/>
        <w:adjustRightInd/>
        <w:snapToGrid w:val="0"/>
        <w:spacing w:line="460" w:lineRule="exact"/>
        <w:jc w:val="both"/>
        <w:textAlignment w:val="auto"/>
        <w:rPr>
          <w:rFonts w:hint="eastAsia" w:ascii="黑体" w:hAnsi="黑体" w:eastAsia="黑体"/>
          <w:sz w:val="24"/>
          <w:szCs w:val="24"/>
        </w:rPr>
      </w:pPr>
      <w:r>
        <w:rPr>
          <w:rFonts w:hint="eastAsia" w:ascii="黑体" w:hAnsi="黑体" w:eastAsia="黑体"/>
          <w:sz w:val="24"/>
          <w:szCs w:val="24"/>
        </w:rPr>
        <w:t>【教学效果与反思】</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4"/>
          <w:szCs w:val="24"/>
          <w:lang w:val="en-US" w:eastAsia="zh-CN"/>
        </w:rPr>
        <w:t>运用多种信息化手段与资源，随堂测试结果显示，学生已</w:t>
      </w:r>
      <w:r>
        <w:rPr>
          <w:rFonts w:hint="eastAsia" w:ascii="宋体" w:hAnsi="宋体" w:eastAsia="宋体" w:cs="宋体"/>
          <w:i w:val="0"/>
          <w:iCs w:val="0"/>
          <w:caps w:val="0"/>
          <w:color w:val="auto"/>
          <w:spacing w:val="0"/>
          <w:sz w:val="24"/>
          <w:szCs w:val="24"/>
          <w:shd w:val="clear" w:color="auto" w:fill="FFFFFF"/>
        </w:rPr>
        <w:t>了解营业收入的审计目标有哪些</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掌握销售与收款循环涉及的主要单据与会计记录</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掌握营业收入的细节测试工作步骤</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eastAsia="宋体" w:cs="宋体"/>
          <w:b/>
          <w:bCs/>
          <w:sz w:val="24"/>
          <w:szCs w:val="24"/>
          <w:lang w:val="en-US" w:eastAsia="zh-CN"/>
        </w:rPr>
        <w:t>知识目标达成</w:t>
      </w:r>
      <w:r>
        <w:rPr>
          <w:rFonts w:hint="eastAsia" w:ascii="宋体" w:hAnsi="宋体" w:eastAsia="宋体" w:cs="宋体"/>
          <w:b w:val="0"/>
          <w:bCs w:val="0"/>
          <w:sz w:val="24"/>
          <w:szCs w:val="24"/>
          <w:lang w:val="en-US" w:eastAsia="zh-CN"/>
        </w:rPr>
        <w:t>；通过课堂练习任务及</w:t>
      </w:r>
      <w:r>
        <w:rPr>
          <w:rFonts w:hint="eastAsia" w:ascii="宋体" w:hAnsi="宋体" w:cs="宋体"/>
          <w:b w:val="0"/>
          <w:bCs w:val="0"/>
          <w:sz w:val="24"/>
          <w:szCs w:val="24"/>
          <w:lang w:val="en-US" w:eastAsia="zh-CN"/>
        </w:rPr>
        <w:t>学生实操结果</w:t>
      </w:r>
      <w:r>
        <w:rPr>
          <w:rFonts w:hint="eastAsia" w:ascii="宋体" w:hAnsi="宋体" w:eastAsia="宋体" w:cs="宋体"/>
          <w:b w:val="0"/>
          <w:bCs w:val="0"/>
          <w:sz w:val="24"/>
          <w:szCs w:val="24"/>
          <w:lang w:val="en-US" w:eastAsia="zh-CN"/>
        </w:rPr>
        <w:t>显示学生能够识别常用的收入确认舞弊手段</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能够使用Python和API技术工具完成细节测试工作步骤</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应用可视化技术进行审计相关可视化图表绘制</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师生互动、生生互动参与度高，</w:t>
      </w:r>
      <w:r>
        <w:rPr>
          <w:rFonts w:hint="eastAsia" w:ascii="宋体" w:hAnsi="宋体" w:eastAsia="宋体" w:cs="宋体"/>
          <w:b/>
          <w:bCs/>
          <w:sz w:val="24"/>
          <w:szCs w:val="24"/>
          <w:lang w:val="en-US" w:eastAsia="zh-CN"/>
        </w:rPr>
        <w:t>能力目标达成</w:t>
      </w:r>
      <w:r>
        <w:rPr>
          <w:rFonts w:hint="eastAsia" w:ascii="宋体" w:hAnsi="宋体" w:eastAsia="宋体" w:cs="宋体"/>
          <w:b w:val="0"/>
          <w:bCs w:val="0"/>
          <w:sz w:val="24"/>
          <w:szCs w:val="24"/>
          <w:lang w:val="en-US" w:eastAsia="zh-CN"/>
        </w:rPr>
        <w:t>；培养学生保持审计人的本心，知责于心，履责于行</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培养学生能够透过现象看本质，学会排除干扰，坚定正确的目标和方向</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培养学生勤于学习，善于思考，勇于实践，学会在工作中总结规律，不断提高工作效率</w:t>
      </w:r>
      <w:r>
        <w:rPr>
          <w:rFonts w:hint="eastAsia" w:ascii="宋体" w:hAnsi="宋体" w:cs="宋体"/>
          <w:b w:val="0"/>
          <w:bCs w:val="0"/>
          <w:sz w:val="24"/>
          <w:szCs w:val="24"/>
          <w:lang w:val="en-US" w:eastAsia="zh-CN"/>
        </w:rPr>
        <w:t>，</w:t>
      </w:r>
      <w:r>
        <w:rPr>
          <w:rFonts w:hint="eastAsia" w:ascii="宋体" w:hAnsi="宋体" w:eastAsia="宋体" w:cs="宋体"/>
          <w:b/>
          <w:bCs/>
          <w:sz w:val="24"/>
          <w:szCs w:val="24"/>
          <w:lang w:val="en-US" w:eastAsia="zh-CN"/>
        </w:rPr>
        <w:t>素质目标达成</w:t>
      </w:r>
      <w:r>
        <w:rPr>
          <w:rFonts w:hint="eastAsia" w:ascii="宋体" w:hAnsi="宋体" w:eastAsia="宋体" w:cs="宋体"/>
          <w:b w:val="0"/>
          <w:bCs w:val="0"/>
          <w:sz w:val="24"/>
          <w:szCs w:val="24"/>
          <w:lang w:val="en-US" w:eastAsia="zh-CN"/>
        </w:rPr>
        <w:t>。</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iZmM0YjdhNWRmNzNhYzg1YjlkMzYzOWU5MWU3ZjAifQ=="/>
  </w:docVars>
  <w:rsids>
    <w:rsidRoot w:val="00000000"/>
    <w:rsid w:val="06AF5B92"/>
    <w:rsid w:val="293515FF"/>
    <w:rsid w:val="5B2D074B"/>
    <w:rsid w:val="5BD74B87"/>
    <w:rsid w:val="6263685B"/>
    <w:rsid w:val="675C3A77"/>
    <w:rsid w:val="7ECB7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keepLines/>
      <w:adjustRightInd/>
      <w:spacing w:before="340" w:after="330" w:line="576" w:lineRule="auto"/>
      <w:jc w:val="both"/>
      <w:textAlignment w:val="auto"/>
      <w:outlineLvl w:val="0"/>
    </w:pPr>
    <w:rPr>
      <w:b/>
      <w:kern w:val="44"/>
      <w:sz w:val="4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3469</Words>
  <Characters>3884</Characters>
  <Lines>0</Lines>
  <Paragraphs>0</Paragraphs>
  <TotalTime>106</TotalTime>
  <ScaleCrop>false</ScaleCrop>
  <LinksUpToDate>false</LinksUpToDate>
  <CharactersWithSpaces>3911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2024-09-23T03:27:00Z</dcterms:created>
  <dc:creator>yyz</dc:creator>
  <cp:lastModifiedBy>姚云磊</cp:lastModifiedBy>
  <dcterms:modified xsi:type="dcterms:W3CDTF">2024-09-30T09:13:40Z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D5AC3303BCBD4B1EA4B0934E3CDB6593_12</vt:lpwstr>
  </property>
</Properties>
</file>